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298</w:t>
      </w:r>
    </w:p>
    <w:p>
      <w:r>
        <w:t>Bundesgericht (BGE), 1980-11-06, DE</w:t>
      </w:r>
    </w:p>
    <w:p>
      <w:r>
        <w:rPr>
          <w:b/>
        </w:rPr>
        <w:t xml:space="preserve">Quelle: </w:t>
      </w:r>
      <w:r>
        <w:t>https://mcp.opencaselaw.ch/entscheid/bge_106 II 298</w:t>
      </w:r>
    </w:p>
    <w:p>
      <w:r>
        <w:t>FR: ATF 106 II 298</w:t>
      </w:r>
    </w:p>
    <w:p>
      <w:r>
        <w:t>IT: DTF 106 II 298</w:t>
      </w:r>
    </w:p>
    <w:p>
      <w:pPr>
        <w:pStyle w:val="Heading2"/>
      </w:pPr>
      <w:r>
        <w:t>Regeste</w:t>
      </w:r>
    </w:p>
    <w:p>
      <w:r>
        <w:t>Regeste Entmündigung auf eigenes Begehren (Art. 372 ZGB). 1. Das Entmündigungsbegehren muss auf freiem Willensentschluss beruhen. Es ist jedoch nicht schon dann ungültig, wenn der Schutzbedürftige nicht von sich aus, sondern auf Vorschlag der Behörde um seine Entmündigung nachsucht (E. 2). 2. Auch die Trunksucht kann ein Gebrechen im Sinne von Art. 372 ZGB darstellen (E. 3). 3. Kann der Schutzbedürftige trotz seiner Trunksucht seine Angelegenheiten gehörig besorgen, so darf er nicht gestützt auf Art. 372 ZGB entmündigt werden (E. 4).</w:t>
      </w:r>
    </w:p>
    <w:p>
      <w:pPr>
        <w:pStyle w:val="Heading2"/>
      </w:pPr>
      <w:r>
        <w:t>Erwägungen</w:t>
      </w:r>
    </w:p>
    <w:p>
      <w:r>
        <w:rPr>
          <w:b/>
        </w:rPr>
        <w:t>E. 2</w:t>
      </w:r>
    </w:p>
    <w:p>
      <w:r>
        <w:t>Nach Art. 372 ZGB kann einer mündigen Person auf ihr Begehren ein Vormund gegeben werden, wenn sie dartut, dass sie infolge von Altersschwäche oder anderen Gebrechen oder von Unerfahrenheit ihre Angelegenheiten nicht gehörig zu besorgen vermag. Erstes Erfordernis für eine Entmündigung gestützt auf diese Bestimmung ist somit ein Begehren des zu Entmündigenden. Der Berufungskläger macht diesbezüglich geltend, sein Entmündigungsbegehren habe nicht auf eigener, freier Entschliessung beruht. Vielmehr sei er von der Vormundschaftsbehörde unter intensiven Druck gesetzt und durch Erwecken eines Irrtums zur Unterzeichnung der Erklärung vom 10. Oktober 1979 bewegt worden, indem ihm erklärt worden sei, er werde den Vormund leichter wieder los, wenn er selber einen solchen begehre. Nach Wegfall des Druckes habe er das Entmündigungsbegehren am 8. Dezember 1979, noch vor der Zustellung des Entmündigungsbeschlusses, denn auch widerrufen. Der Widerruf des Entmündigungsbegehrens ist indessen unbeachtlich, da die Entmündigung bereits vorher, nämlich am 27. November 1979, ausgesprochen worden war ( BGE 102 II 190 ff., BGE 99 II 15 ff.). Dass der Entmündigungsbeschluss dem Berufungskläger im Zeitpunkt des Widerrufs noch nicht zugegangen war, ändert daran nichts. Von einem Willensmangel im eigentlichen Sinne kann sodann zweifellos nicht gesprochen werden. Nach den Feststellungen der Vorinstanz hat die Vormundschaftsbehörde die Frage der Vormundschaft mit dem Berufungskläger eingehend erörtert. Dass sie dabei darauf hinwies, eine auf eigenes Begehren angeordnete Vormundschaft könne leichter wieder aufgehoben werden als eine Zwangsvormundschaft, ist nicht zu beanstanden. Wie ein Vergleich zwischen Art. 437 und 438 ZGB zeigt, ist dies tatsächlich der Fall, wenngleich der Unterschied bei einem Trunksüchtigen im Ergebnis nicht allzu gross sein dürfte (vgl. BGE 78 II 10 , BGE 38 II 432 ). BGE 106 II 298 S. 301 Das Entmündigungsbegehren hat der Berufungskläger sodann nicht anlässlich der Verhandlung vor der Vormundschaftsbehörde unterzeichnet, sondern zuhause im Beisein der Eltern. Das spricht gegen eine unzulässige Druckausübung seitens der Vormundschaftsbehörde. Hätte das Begehren damals wirklich nicht seinem Willen entsprochen, so hätte es der Berufungskläger zudem nicht erst zwei Monate später widerrufen. Dagegen befand sich der Berufungskläger insofern in einer Zwangslage, als er von der Vormundschaftsbehörde vor die Alternative gestellt wurde, entweder zwangsweise nach Art. 369/370 oder auf eigenes Begehren nach Art. 372 ZGB entmündigt zu werden, ihm also effektiv nur die Form des Eingriffs offengelassen wurde. Es stellt sich daher die Frage, ob ein Entmündigungsbegehren unter solchen Umständen noch als auf freiem Willensentschluss beruhend angesehen werden kann. Das Bundesgericht hat diese Frage in BGE 78 II 9 bejaht. Es hielt dabei fest, der Umstand, dass der Schutzbedürftige nicht von sich aus, sondern auf Vorschlag der Behörde um seine Bevormundung nachsuche, mache sein Begehren nicht ungültig; die Drohung, ihn im Falle der Weigerung zu versorgen, wäre höchstens dann ein unzulässiger, die Gültigkeit der Erklärung in Frage stellender Zwang, wenn objektiv jeder Grund gefehlt hätte, ihn zu entmündigen oder andere Massnahmen gegen ihn zu ergreifen. Daran ist - wenn auch mit gewissen Einschränkungen - festzuhalten. Würde man anders entscheiden, wäre in vielen Fällen eine Entmündigung auf eigenes Begehren ausgeschlossen, wenn zugleich auch die Voraussetzungen für eine Entmündigung nach Art. 369 oder 370 ZGB erfüllt sind. Das läge nicht im Interesse des zu Bevormundenden. Einmal ist, wie das Bundesgericht in BGE 54 II 241 ausgeführt hat, das Verfahren bei der Entmündigung auf eigenes Begehren wesentlich einfacher und für den Schutzbedürftigen weniger belastend. Zum andern kommt diesem Entmündigungsgrund eine besondere fürsorgerische Bedeutung zu, da die Einsicht in die Notwendigkeit einer vormundschaftlichen Massnahme zu einer positiven Einstellung gegenüber dem Vormund führt und damit günstige Voraussetzungen für eine Heilung bzw. Besserung schafft. Schliesslich wird der Schutzbedürftige bei der Entmündigung auf eigenes Begehren nicht zum vornherein als geisteskrank, trunksüchtig, verschwenderisch usw. abgestempelt; seine Persönlichkeitssphäre wird dadurch BGE 106 II 298 S. 302 geschont und sein wirtschaftliches Fortkommen erleichtert. Der Entmündigung auf eigenes Begehren kommt daher als der milderen Massnahme gegenüber den andern Entmündigungsgründen der Vorrang zu (EGGER, N. 15 zu Art. 372 ZGB ; ISENSCHMID, Entmündigung und Beistandschaft auf eigenes Begehren, Diss. Freiburg 1975, S. 65 ff.; BAER, Die Entmündigung auf eigenes Begehren, ZVW 10/1955 S. 125; HESS, Rechtliche Voraussetzungen und fürsorgerische Bedeutung der Entmündigung auf eigenes Begehren, ZVW 4/1949, S. 61 ff.). Diese positive Wirkung der Entmündigung auf eigenes Begehren entfällt allerdings, wenn das Entmündigungsbegehren nicht auf der Einsicht des Schutzbedürftigen beruht, dass er seine Angelegenheiten nur mit der Hilfe eines Vormundes zu besorgen vermag, sondern auf das Drängen der Vormundschaftsbehörde zurückzuführen ist, die das kostspielige und zeitaufwendige Verfahren der Zwangsentmündigung vermeiden möchte, oder wenn es nur deswegen gestellt wurde, weil der Schutzbedürftige eingesehen hat, dass ein Widerstand gegen die Zwangsentmündigung ohnehin zwecklos ist, insbesondere wenn dies kurz vor dem Abschluss eines bereits eingeleiteten Entmündigungsverfahrens geschieht (ISENSCHMID, a.a.O. S. 59 ff., 64/65). Wo die Grenze zwischen einem unzulässigen Beeinflussungsversuch seitens der Vormundschaftsbehörde und einem grundsätzlich im Interesse des Schutzbedürftigen liegenden Appell an dessen Einsicht in die Notwendigkeit vormundschaftlicher Massnahmen verläuft, ist freilich nicht leicht zu sagen. Im vorliegenden Fall bestehen indessen keine Anhaltspunkte dafür, dass die Vormundschaftsbehörde nicht im Interesse des Berufungsklägers gehandelt habe, sondern sich die Arbeit habe leicht machen wollen, als sie ihn auf die Möglichkeit aufmerksam machte, einem in Aussicht stehenden Zwangsentmündigungsverfahren durch ein eigenes Entmündigungsbegehren zuvorzukommen, oder dass das Entmündigungsbegehren trotz der Zwangslage, in der sich der Berufungskläger befand, nicht auf echter Einsicht beruht habe. Dass die Vormundschaftsbehörde den Berufungskläger vorlud, um mit ihm die Frage der Anordnung vormundschaftlicher Massnahmen zu erörtern, war angesichts der andauernden Trunksucht und deren Auswirkungen sicher gerechtfertigt. Das Entmündigungsbegehren ist daher als gültig zu betrachten.</w:t>
      </w:r>
    </w:p>
    <w:p>
      <w:r>
        <w:rPr>
          <w:b/>
        </w:rPr>
        <w:t>E. 3</w:t>
      </w:r>
    </w:p>
    <w:p>
      <w:r>
        <w:t>In objektiver Hinsicht verlangt Art. 372 ZGB für eine BGE 106 II 298 S. 303 Entmündigung sodann Altersschwäche, andere Gebrechen oder Unerfahrenheit. Die Vorinstanz stellt diesbezüglich fest, der Berufungskläger leide seit Jahrzehnten unter Alkoholismus; von 1963 bis 1977 habe er sechsmal für eine Dauer von bis zu sechs Wochen wegen Alkoholmissbrauchs in der Psychiatrischen Klinik Breitenau interniert werden müssen; Perioden der Mässigung und der Arbeitsintensität hätten stets abgewechselt mit solchen, in denen er wegen seiner Trunksucht Arbeit und Halt verloren habe; Antabuskuren hätten, wenn überhaupt, nur zu zeitlich beschränkten Erfolgen geführt. In diesem Alkoholmissbrauch kann ohne Verletzung von Bundesrecht ein "anderes Gebrechen" im Sinne von Art 372 ZGB erblickt werden ( BGE 54 II 240 /241; vgl. auch BGE 78 II 8 ; EGGER, N. 10 zu Art. 372 ZGB ; ISENSCHMID, a.a.O. S. 50). Ob daneben auch eine Tablettenabhängigkeit bestehe und ob sich die Persönlichkeit des Berufungsklägers infolge seiner Lebensweise sukzessive abbaue, kann unter diesen Umständen dahingestellt bleiben.</w:t>
      </w:r>
    </w:p>
    <w:p>
      <w:r>
        <w:rPr>
          <w:b/>
        </w:rPr>
        <w:t>E. 4</w:t>
      </w:r>
    </w:p>
    <w:p>
      <w:r>
        <w:t>Endlich darf eine Entmündigung auf eigenes Begehren nur ausgesprochen werden, wenn der zu Entmündigende seine Angelegenheiten nicht gehörig zu besorgen vermag. Wie bei der zwangsweisen Entmündigung nach Art. 370 ZGB genügt auch bei der Entmündigung auf eigenes Begehren die Trunksucht für sich allein nicht, wenn sie nicht ein soziales Versagen des Schutzbedürftigen zur Folge hat. Über diese zusätzliche Voraussetzung der Entmündigung lässt sich dem angefochtenen Entscheid nichts entnehmen. Der Berufungskläger hat jedoch schon im kantonalen Verfahren behauptet, er habe seine Verpflichtungen stets erfüllt, sei nie betrieben worden und habe nie Fürsorgeleistungen bezogen; seine Stellen habe er stets selbst gesucht und gefunden; in die Heilstätte für Alkoholkranke in Ellikon sei er aus eigenem Antrieb eingetreten; den Aufenthalt in dieser Anstalt habe er aus eigenen Ersparnissen bezahlt; er sei daher sehr wohl in der Lage, seine Angelegenheiten selber zu besorgen. Wie es sich damit verhält, hat die Vorinstanz nicht abgeklärt. Die Sache ist daher zur Prüfung dieser Frage an die Vorinstanz zurückzuweisen. Sollten sich die Behauptungen des Berufungsklägers als richtig erweisen, so darf dieser nicht entmündigt werden. Ein anderer Entscheid liesse sich höchstens dann in Erwägung ziehen, wenn es zuträfe, dass der Berufungskläger nur deswegen nicht in Schulden geraten ist, weil er als BGE 106 II 298 S. 304 41jähriger Mann immer noch gratis bei seinen Eltern wohnt, die ihm in finanzieller und persönlicher Hinsicht alle notwendige Fürsorge gewähren, worauf einige Aktennotizen des Alkoholfürsorgers hinzudeuten scheinen. Auch diesem Umstand wird die Vorinstanz nachzugehen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